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39.png" ContentType="image/png"/>
  <Override PartName="/word/media/image4.png" ContentType="image/png"/>
  <Override PartName="/word/media/image38.png" ContentType="image/png"/>
  <Override PartName="/word/media/image3.png" ContentType="image/png"/>
  <Override PartName="/word/media/image37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6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Панель управления SINUMERIK 808D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на панели управления (PPU)</w:t>
      </w:r>
    </w:p>
    <w:p>
      <w:pPr>
        <w:pStyle w:val="Normal"/>
        <w:rPr/>
      </w:pPr>
      <w:r>
        <w:rPr/>
        <w:drawing>
          <wp:inline distT="0" distB="9525" distL="0" distR="9525">
            <wp:extent cx="5895975" cy="31718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35"/>
        <w:gridCol w:w="4792"/>
        <w:gridCol w:w="540"/>
        <w:gridCol w:w="3703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Вертикальные и горизонтальные программные клавиши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Вызывают определенные функции меню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Кнопка встроенного помощника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пошаговое руководство по основным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операциям ввода в эксплуатацию и самой эксплуатации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Кнопка возврата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возврата в меню более высокого уровня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⑧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Кнопка Help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Вызывает справку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③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Кнопка расширения меню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Зарезервирована для будущих использований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⑨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Кнопки курсора*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④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Алфавитно-цифровые кнопки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ввода верхнего регистра кнопки удерживайте нажатой следующую кнопку: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466725" cy="466725"/>
                  <wp:effectExtent l="0" t="0" r="0" b="0"/>
                  <wp:docPr id="2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⑩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Кнопки области управления*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⑤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Кнопки управления*  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⑪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USB-интерфейс* 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⑥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Кнопка отмены аварийного сигнала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Отменяет тревоги и сообщения, отмеченные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данным символом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⑫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Светодиоды состояния*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/>
          <w:sz w:val="24"/>
          <w:szCs w:val="24"/>
        </w:rPr>
      </w:pPr>
      <w:r>
        <w:rPr/>
        <w:t xml:space="preserve"> </w:t>
      </w:r>
      <w:r>
        <w:rPr>
          <w:rFonts w:ascii="Times New Roman" w:hAnsi="Times New Roman"/>
          <w:sz w:val="24"/>
          <w:szCs w:val="24"/>
        </w:rPr>
        <w:t>* Подробнее см. приведенную ниже таблицу.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526"/>
        <w:gridCol w:w="1701"/>
        <w:gridCol w:w="6344"/>
      </w:tblGrid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/>
              <w:drawing>
                <wp:inline distT="0" distB="0" distL="0" distR="9525">
                  <wp:extent cx="447675" cy="457200"/>
                  <wp:effectExtent l="0" t="0" r="0" b="0"/>
                  <wp:docPr id="3" name="Рисунок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Удаляет символ слева от курсора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447675" cy="447675"/>
                  <wp:effectExtent l="0" t="0" r="0" b="0"/>
                  <wp:docPr id="4" name="Рисунок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Удаляет выбранный файл или символ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447675" cy="447675"/>
                  <wp:effectExtent l="0" t="0" r="0" b="0"/>
                  <wp:docPr id="5" name="Рисунок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Перемещает курсор на несколько символов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Выполняет переключение между полем ввода и выбранным именем программы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9525">
                  <wp:extent cx="447675" cy="457200"/>
                  <wp:effectExtent l="0" t="0" r="0" b="0"/>
                  <wp:docPr id="6" name="Рисунок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Подтверждает ввод значения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Открывает директорию или программу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курсора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447675" cy="466725"/>
                  <wp:effectExtent l="0" t="0" r="0" b="0"/>
                  <wp:docPr id="7" name="Рисунок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Зарезервирована для будущих использований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9525" distL="0" distR="0">
                  <wp:extent cx="457200" cy="447675"/>
                  <wp:effectExtent l="0" t="0" r="0" b="0"/>
                  <wp:docPr id="8" name="Рисунок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Перемещает курсор в конец строки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57200" cy="457200"/>
                  <wp:effectExtent l="0" t="0" r="0" b="0"/>
                  <wp:docPr id="9" name="Рисунок 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Прокручивает вверх экран меню 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9525" distL="0" distR="0">
                  <wp:extent cx="457200" cy="447675"/>
                  <wp:effectExtent l="0" t="0" r="0" b="0"/>
                  <wp:docPr id="10" name="Рисунок 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Прокручивает вниз экран меню 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9525">
                  <wp:extent cx="447675" cy="457200"/>
                  <wp:effectExtent l="0" t="0" r="0" b="0"/>
                  <wp:docPr id="11" name="Рисунок 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Переключает между значениями в поле ввода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Открывает диалог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при запуске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57200" cy="476250"/>
                  <wp:effectExtent l="0" t="0" r="0" b="0"/>
                  <wp:docPr id="12" name="Рисунок 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открыть область управлениясистемными данными, нажмите комбинацию следующих кнопок: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9525">
                  <wp:extent cx="1038225" cy="457200"/>
                  <wp:effectExtent l="0" t="0" r="0" b="0"/>
                  <wp:docPr id="13" name="Рисунок 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9525">
                  <wp:extent cx="447675" cy="457200"/>
                  <wp:effectExtent l="0" t="0" r="0" b="0"/>
                  <wp:docPr id="14" name="Рисунок 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Позволяет дополнительным приложениям пользователя, например, создавать диалоги пользователя с функцией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EasyXLanguage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Дополнительную информацию по этойфункции можно получить в документе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"Описание функций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SINUMERIK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904875" cy="409575"/>
                  <wp:effectExtent l="0" t="0" r="0" b="0"/>
                  <wp:docPr id="15" name="Рисунок 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Светится зеленым цветом: Включено питание системы ЧПУ.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Светится зеленым цветом: Система ЧПУ готова к работе. 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светит: Температура системы ЧПУ в пределах заданного диапазона.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Светится оранжевым цветом: Температура системы ЧПУ находится вне диапазона.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Интерфейс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-устройств, например: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внешней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-флешки для передачи данных между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>-флешкой и ЧПУ;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внешней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>-клавиатуры, которая работает как внешняя клавиатураЧПУ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 клавиши</w:t>
      </w:r>
    </w:p>
    <w:tbl>
      <w:tblPr>
        <w:tblW w:w="795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16"/>
        <w:gridCol w:w="6835"/>
      </w:tblGrid>
      <w:tr>
        <w:trPr/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561975" cy="352425"/>
                  <wp:effectExtent l="0" t="0" r="0" b="0"/>
                  <wp:docPr id="16" name="Рисунок 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Открывает область управления обработкой</w:t>
            </w:r>
          </w:p>
        </w:tc>
      </w:tr>
      <w:tr>
        <w:trPr/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9525" distL="0" distR="0">
                  <wp:extent cx="495300" cy="333375"/>
                  <wp:effectExtent l="0" t="0" r="0" b="0"/>
                  <wp:docPr id="17" name="Рисунок 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Открывает область управления редактированием программ</w:t>
            </w:r>
          </w:p>
        </w:tc>
      </w:tr>
      <w:tr>
        <w:trPr/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485775" cy="333375"/>
                  <wp:effectExtent l="0" t="0" r="0" b="0"/>
                  <wp:docPr id="18" name="Рисунок 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Открывает область управления параметрами смещения</w:t>
            </w:r>
          </w:p>
        </w:tc>
      </w:tr>
      <w:tr>
        <w:trPr/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485775" cy="333375"/>
                  <wp:effectExtent l="0" t="0" r="0" b="0"/>
                  <wp:docPr id="19" name="Рисунок 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Открывает область управления программами</w:t>
            </w:r>
          </w:p>
        </w:tc>
      </w:tr>
      <w:tr>
        <w:trPr/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9525" distL="0" distR="0">
                  <wp:extent cx="457200" cy="314325"/>
                  <wp:effectExtent l="0" t="0" r="0" b="0"/>
                  <wp:docPr id="20" name="Рисунок 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Открывает область управления диагностикой</w:t>
            </w:r>
          </w:p>
        </w:tc>
      </w:tr>
      <w:tr>
        <w:trPr/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9525">
                  <wp:extent cx="485775" cy="323850"/>
                  <wp:effectExtent l="0" t="0" r="0" b="0"/>
                  <wp:docPr id="21" name="Рисунок 8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8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Открывает область управления системными данными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координат станка (</w:t>
      </w:r>
      <w:r>
        <w:rPr>
          <w:rFonts w:ascii="Times New Roman" w:hAnsi="Times New Roman"/>
          <w:b/>
          <w:sz w:val="24"/>
          <w:szCs w:val="24"/>
          <w:lang w:val="en-US"/>
        </w:rPr>
        <w:t>MCS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/>
        <w:drawing>
          <wp:inline distT="0" distB="9525" distL="0" distR="9525">
            <wp:extent cx="4962525" cy="3857625"/>
            <wp:effectExtent l="0" t="0" r="0" b="0"/>
            <wp:docPr id="22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Нулевой точкой этой системы координат является </w:t>
      </w:r>
      <w:r>
        <w:rPr>
          <w:rFonts w:ascii="Times New Roman" w:hAnsi="Times New Roman"/>
          <w:b/>
          <w:sz w:val="24"/>
          <w:szCs w:val="24"/>
        </w:rPr>
        <w:t>нулевая точка станка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точка является лишь исходной точкой, устанавливаемой изготовителем станка.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Подвод к ней должен быть невозможен.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перемещения </w:t>
      </w:r>
      <w:r>
        <w:rPr>
          <w:rFonts w:ascii="Times New Roman" w:hAnsi="Times New Roman"/>
          <w:b/>
          <w:sz w:val="24"/>
          <w:szCs w:val="24"/>
        </w:rPr>
        <w:t>осей станка</w:t>
      </w:r>
      <w:r>
        <w:rPr>
          <w:rFonts w:ascii="Times New Roman" w:hAnsi="Times New Roman"/>
          <w:sz w:val="24"/>
          <w:szCs w:val="24"/>
        </w:rPr>
        <w:t xml:space="preserve"> может лежать в отрицательном диапазоне.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 Панель управления станком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на лицевой панели </w:t>
      </w:r>
      <w:r>
        <w:rPr>
          <w:rFonts w:ascii="Times New Roman" w:hAnsi="Times New Roman"/>
          <w:b/>
          <w:sz w:val="24"/>
          <w:szCs w:val="24"/>
          <w:lang w:val="en-US"/>
        </w:rPr>
        <w:t>MCP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/>
        <w:drawing>
          <wp:inline distT="0" distB="9525" distL="0" distR="9525">
            <wp:extent cx="5934075" cy="2352675"/>
            <wp:effectExtent l="0" t="0" r="0" b="0"/>
            <wp:docPr id="2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35"/>
        <w:gridCol w:w="4126"/>
        <w:gridCol w:w="535"/>
        <w:gridCol w:w="4374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Кнопка аварийной остановки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Немедленная остановка всех движений станка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⑥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Заданные пользователем кнопки*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оснащены светодиодными индикаторами состояния)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Кнопка маховика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 светодиодным индикатором состояния)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Управляет перемещением осей с помощью внешних маховиков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Кнопки управления осями*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③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Дисплей для отображения номера инструмента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Отображает номер текущего инструмента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⑧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Кнопки управления шпинделем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④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Кнопки рабочего режима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оснащены светодиодными индикаторами состояния)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⑨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Кнопки состояния программы*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⑤</w:t>
            </w:r>
          </w:p>
        </w:tc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Кнопки управления программой*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оснащены светодиодными индикаторами состояния)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⑩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Переключатель Feedrate override (Коррекция скорости подачи)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Передвигает выбранную ось на выбранной скорости подачи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Подробнее см. приведенную ниже таблицу.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Дополнительная информация</w:t>
      </w:r>
    </w:p>
    <w:tbl>
      <w:tblPr>
        <w:tblpPr w:bottomFromText="0" w:horzAnchor="text" w:leftFromText="180" w:rightFromText="180" w:tblpX="0" w:tblpY="1" w:topFromText="0" w:vertAnchor="text"/>
        <w:tblW w:w="957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886"/>
        <w:gridCol w:w="2046"/>
        <w:gridCol w:w="5639"/>
      </w:tblGrid>
      <w:tr>
        <w:trPr/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Кнопки управления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программой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723900" cy="704850"/>
                  <wp:effectExtent l="0" t="0" r="0" b="0"/>
                  <wp:docPr id="24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Блокирует вывод заданного значения для осей и шпинделей.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Система управления “симулирует” движение траверсы для проверки правильности работы программы.. 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9525">
                  <wp:extent cx="714375" cy="714375"/>
                  <wp:effectExtent l="0" t="0" r="0" b="0"/>
                  <wp:docPr id="25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Останавливает программу на кадрах, в которых запрограммирована дополнительная функция </w:t>
            </w:r>
            <w:r>
              <w:rPr>
                <w:rFonts w:ascii="Times New Roman" w:hAnsi="Times New Roman"/>
                <w:b/>
                <w:lang w:val="en-US"/>
              </w:rPr>
              <w:t>M</w:t>
            </w:r>
            <w:r>
              <w:rPr>
                <w:rFonts w:ascii="Times New Roman" w:hAnsi="Times New Roman"/>
                <w:b/>
              </w:rPr>
              <w:t xml:space="preserve">01. 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9525">
                  <wp:extent cx="695325" cy="704850"/>
                  <wp:effectExtent l="0" t="0" r="0" b="0"/>
                  <wp:docPr id="26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Подстраивает коррекцию для подачи по осям 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9525">
                  <wp:extent cx="695325" cy="704850"/>
                  <wp:effectExtent l="0" t="0" r="0" b="0"/>
                  <wp:docPr id="27" name="Рисунок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Активизирует режим выполнения кадров по отдельности </w:t>
            </w:r>
          </w:p>
        </w:tc>
      </w:tr>
      <w:tr>
        <w:trPr/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Заданные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пользователем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кнопки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0">
                  <wp:extent cx="704850" cy="695325"/>
                  <wp:effectExtent l="0" t="0" r="0" b="0"/>
                  <wp:docPr id="28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нажатии на эту кнопку в любом рабочем режиме включается/отключается лампа.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горит: Освещение включено.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не горит: Освещение отключено. 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0">
                  <wp:extent cx="704850" cy="714375"/>
                  <wp:effectExtent l="0" t="0" r="0" b="0"/>
                  <wp:docPr id="29" name="Рисунок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нажатии на эту кнопку в любом рабочем режиме включается/отключается подача охладителя.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горит: Подача охладителя включена.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не горит: Подача охладителя отключена. 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9525">
                  <wp:extent cx="695325" cy="714375"/>
                  <wp:effectExtent l="0" t="0" r="0" b="0"/>
                  <wp:docPr id="30" name="Рисунок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Нажатие на эту кнопку приводит к последовательной смене  инструментов (активно только в режиме "</w:t>
            </w:r>
            <w:r>
              <w:rPr>
                <w:rFonts w:ascii="Times New Roman" w:hAnsi="Times New Roman"/>
                <w:b/>
                <w:lang w:val="en-US"/>
              </w:rPr>
              <w:t>JOG</w:t>
            </w:r>
            <w:r>
              <w:rPr>
                <w:rFonts w:ascii="Times New Roman" w:hAnsi="Times New Roman"/>
                <w:b/>
              </w:rPr>
              <w:t xml:space="preserve">").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горит: Станок начинает последовательную смену инструментов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Светодиод не горит: Станок прекращает последовательную смену инструментов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9525">
                  <wp:extent cx="695325" cy="704850"/>
                  <wp:effectExtent l="0" t="0" r="0" b="0"/>
                  <wp:docPr id="31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нажатии на эту кнопку в любом рабочем режиме активирует сжатие/разжатие заготовки в патроне.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горит: Активирует закрепление заготовки в держателе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не горит: Активирует освобождение заготовки из держателя 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9525">
                  <wp:extent cx="695325" cy="695325"/>
                  <wp:effectExtent l="0" t="0" r="0" b="0"/>
                  <wp:docPr id="32" name="Рисунок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Нажимать на данную кнопку только после полной остановки шпинделя.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горит: Активизирует зажим заготовки в патроне снаружи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Светодиод не горит: Активизирует зажатие детали (заготовки) в патроне изнутри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0">
                  <wp:extent cx="704850" cy="695325"/>
                  <wp:effectExtent l="0" t="0" r="0" b="0"/>
                  <wp:docPr id="33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Нажатие на данную кнопку в любом режиме работы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выдвигает/втягивает упорную бабку.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Светодиод горит: Вытягивает упорную бабку к заготовке до ее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полного закрепления на конце заготовки </w:t>
            </w:r>
          </w:p>
        </w:tc>
      </w:tr>
      <w:tr>
        <w:trPr/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Кнопки управления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осями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704850" cy="704850"/>
                  <wp:effectExtent l="0" t="0" r="0" b="0"/>
                  <wp:docPr id="3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Перемещает выбранную ось в ускоренном режиме при нажатии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кнопки соответствующей оси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9525">
                  <wp:extent cx="695325" cy="723900"/>
                  <wp:effectExtent l="0" t="0" r="0" b="0"/>
                  <wp:docPr id="35" name="Рисунок 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 эту кнопку не назначено никакой функции. 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9525">
                  <wp:extent cx="1152525" cy="323850"/>
                  <wp:effectExtent l="0" t="0" r="0" b="0"/>
                  <wp:docPr id="36" name="Рисунок 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Кнопки задания инкрементной подачи (со светодиодами состояния)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Задают необходимый шаг инкремента для перемещения оси</w:t>
            </w:r>
          </w:p>
        </w:tc>
      </w:tr>
      <w:tr>
        <w:trPr/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Кнопки состояния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704850" cy="704850"/>
                  <wp:effectExtent l="0" t="0" r="0" b="0"/>
                  <wp:docPr id="37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Останавливает выполнение управляющих программ</w:t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9525">
                  <wp:extent cx="695325" cy="714375"/>
                  <wp:effectExtent l="0" t="0" r="0" b="0"/>
                  <wp:docPr id="38" name="Рисунок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Запускает выполнение управляющих программ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18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704850" cy="704850"/>
                  <wp:effectExtent l="0" t="0" r="0" b="0"/>
                  <wp:docPr id="39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-  Перезапускает управляющие программы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-  Отменяет все тревоги, удовлетворяющие критерию отмены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4"/>
          <w:szCs w:val="24"/>
          <w:lang w:eastAsia="ru-RU"/>
        </w:rPr>
        <w:t>Источник: Справочник по программированию и работе «</w:t>
      </w:r>
      <w:r>
        <w:rPr>
          <w:rFonts w:ascii="Times New Roman" w:hAnsi="Times New Roman"/>
          <w:sz w:val="24"/>
          <w:szCs w:val="24"/>
          <w:lang w:val="en-US" w:eastAsia="ru-RU"/>
        </w:rPr>
        <w:t>SINUMERIK</w:t>
      </w:r>
      <w:r>
        <w:rPr>
          <w:rFonts w:ascii="Times New Roman" w:hAnsi="Times New Roman"/>
          <w:sz w:val="24"/>
          <w:szCs w:val="24"/>
          <w:lang w:eastAsia="ru-RU"/>
        </w:rPr>
        <w:t xml:space="preserve"> 808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sz w:val="24"/>
          <w:szCs w:val="24"/>
          <w:lang w:eastAsia="ru-RU"/>
        </w:rPr>
        <w:t xml:space="preserve"> Токарная обработка. Часть 1: Работа»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ae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ae277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locked/>
    <w:rsid w:val="00ba271d"/>
    <w:rPr>
      <w:rFonts w:cs="Times New Roman"/>
      <w:lang w:eastAsia="en-US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locked/>
    <w:rsid w:val="00ba271d"/>
    <w:rPr>
      <w:rFonts w:cs="Times New Roman"/>
      <w:lang w:eastAsia="en-U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qFormat/>
    <w:rsid w:val="00ae2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rsid w:val="00cf619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rsid w:val="00cf619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ae27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<Relationship Id="rId4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D2DA-1E9D-445F-B52D-8082F9A1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LibreOffice/5.2.5.1$Linux_x86 LibreOffice_project/20m0$Build-1</Application>
  <Pages>7</Pages>
  <Words>714</Words>
  <Characters>5043</Characters>
  <CharactersWithSpaces>5704</CharactersWithSpaces>
  <Paragraphs>199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2016-10-22T05:14:00Z</dcterms:created>
  <dc:creator>schegolev</dc:creator>
  <dc:description/>
  <dc:language>ru-RU</dc:language>
  <cp:lastModifiedBy>Преподаватель  Аудитория 104</cp:lastModifiedBy>
  <cp:lastPrinted>2016-10-22T05:13:00Z</cp:lastPrinted>
  <dcterms:modified xsi:type="dcterms:W3CDTF">2018-10-12T08:47:17Z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